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关于组织全省女教职工参加全国第十届</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“书香三八”读书活动暨山东省第一届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“书香伴我行”女职工阅读优秀作品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评选活动的通知</w:t>
      </w:r>
    </w:p>
    <w:p>
      <w:pPr>
        <w:spacing w:line="580" w:lineRule="exact"/>
        <w:rPr>
          <w:rFonts w:ascii="仿宋" w:hAnsi="仿宋" w:eastAsia="仿宋" w:cs="仿宋"/>
          <w:b/>
          <w:snapToGrid w:val="0"/>
          <w:sz w:val="32"/>
          <w:szCs w:val="32"/>
        </w:rPr>
      </w:pPr>
    </w:p>
    <w:p>
      <w:pPr>
        <w:keepNext w:val="0"/>
        <w:keepLines w:val="0"/>
        <w:pageBreakBefore w:val="0"/>
        <w:widowControl w:val="0"/>
        <w:kinsoku/>
        <w:overflowPunct/>
        <w:topLinePunct w:val="0"/>
        <w:autoSpaceDE/>
        <w:autoSpaceDN/>
        <w:bidi w:val="0"/>
        <w:spacing w:line="520" w:lineRule="exact"/>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各市教育工会，各高校工会、女工委员会：</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根据省总工会通知，全国第十届“书香三八”读书活动暨山东省第一届“书香伴我行”女职工阅读优秀作品评选活动已经启动。经研究，省教育工会决定，组织全省女教职工参加上述活动。现将有关事项通知如下。</w:t>
      </w:r>
    </w:p>
    <w:p>
      <w:pPr>
        <w:keepNext w:val="0"/>
        <w:keepLines w:val="0"/>
        <w:pageBreakBefore w:val="0"/>
        <w:widowControl w:val="0"/>
        <w:numPr>
          <w:ilvl w:val="0"/>
          <w:numId w:val="1"/>
        </w:numPr>
        <w:suppressAutoHyphens/>
        <w:kinsoku/>
        <w:overflowPunct/>
        <w:topLinePunct w:val="0"/>
        <w:autoSpaceDE/>
        <w:autoSpaceDN/>
        <w:bidi w:val="0"/>
        <w:spacing w:line="520" w:lineRule="exact"/>
        <w:ind w:firstLine="640" w:firstLineChars="200"/>
        <w:textAlignment w:val="auto"/>
        <w:rPr>
          <w:rFonts w:hint="eastAsia" w:ascii="黑体" w:hAnsi="黑体" w:eastAsia="黑体" w:cs="黑体"/>
          <w:b w:val="0"/>
          <w:bCs/>
          <w:snapToGrid w:val="0"/>
          <w:sz w:val="32"/>
          <w:szCs w:val="32"/>
        </w:rPr>
      </w:pPr>
      <w:r>
        <w:rPr>
          <w:rFonts w:hint="eastAsia" w:ascii="黑体" w:hAnsi="黑体" w:eastAsia="黑体" w:cs="黑体"/>
          <w:b w:val="0"/>
          <w:bCs/>
          <w:snapToGrid w:val="0"/>
          <w:sz w:val="32"/>
          <w:szCs w:val="32"/>
        </w:rPr>
        <w:t xml:space="preserve">读书活动内容 </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本届读书活动秉承“推动女性阅读，建设书香家庭”活动宗旨，以“书香满庭芳·奋斗新征程”为主题，通过开展征文、家书、书画阅读、摄影阅读、表演阅读等线上线下内容丰富、形式多样的阅读活动，使广大女职工在阅读中增长知识、启迪智慧，在工作中读以致用、提升素质，在生活中丰富人生、体验幸福。</w:t>
      </w:r>
    </w:p>
    <w:p>
      <w:pPr>
        <w:keepNext w:val="0"/>
        <w:keepLines w:val="0"/>
        <w:pageBreakBefore w:val="0"/>
        <w:widowControl w:val="0"/>
        <w:numPr>
          <w:ilvl w:val="0"/>
          <w:numId w:val="1"/>
        </w:numPr>
        <w:suppressAutoHyphens/>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napToGrid w:val="0"/>
          <w:sz w:val="32"/>
          <w:szCs w:val="32"/>
        </w:rPr>
      </w:pPr>
      <w:r>
        <w:rPr>
          <w:rFonts w:hint="eastAsia" w:ascii="黑体" w:hAnsi="黑体" w:eastAsia="黑体" w:cs="黑体"/>
          <w:b w:val="0"/>
          <w:bCs/>
          <w:snapToGrid w:val="0"/>
          <w:sz w:val="32"/>
          <w:szCs w:val="32"/>
        </w:rPr>
        <w:t>读书活动要求</w:t>
      </w:r>
      <w:r>
        <w:rPr>
          <w:rFonts w:hint="eastAsia" w:ascii="仿宋_GB2312" w:hAnsi="仿宋_GB2312" w:eastAsia="仿宋_GB2312" w:cs="仿宋_GB2312"/>
          <w:b w:val="0"/>
          <w:bCs/>
          <w:snapToGrid w:val="0"/>
          <w:sz w:val="32"/>
          <w:szCs w:val="32"/>
        </w:rPr>
        <w:t xml:space="preserve"> </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请各单位结合当前新冠肺炎疫情防控情况，统筹谋划、广泛发动、积极组织，深化多种形式的线上线下</w:t>
      </w:r>
      <w:r>
        <w:rPr>
          <w:rFonts w:hint="eastAsia" w:ascii="仿宋_GB2312" w:hAnsi="仿宋_GB2312" w:eastAsia="仿宋_GB2312" w:cs="仿宋_GB2312"/>
          <w:b w:val="0"/>
          <w:bCs/>
          <w:snapToGrid w:val="0"/>
          <w:sz w:val="32"/>
          <w:szCs w:val="32"/>
          <w:lang w:val="zh-CN"/>
        </w:rPr>
        <w:t>阅读活动，</w:t>
      </w:r>
      <w:r>
        <w:rPr>
          <w:rFonts w:hint="eastAsia" w:ascii="仿宋_GB2312" w:hAnsi="仿宋_GB2312" w:eastAsia="仿宋_GB2312" w:cs="仿宋_GB2312"/>
          <w:b w:val="0"/>
          <w:bCs/>
          <w:snapToGrid w:val="0"/>
          <w:sz w:val="32"/>
          <w:szCs w:val="32"/>
        </w:rPr>
        <w:t>要把读书活动与提升女教职工素质相结合、与女教职工岗位建功相结合、与良好家风家教相结合、与文明和谐职工家庭建设相结合，积极引导广大女教职工充分发挥在社会生活和家庭生活中的独特作用，为全面建成社会主义现代化强国、实现中华民族伟大复兴贡献巾帼力量。</w:t>
      </w:r>
    </w:p>
    <w:p>
      <w:pPr>
        <w:keepNext w:val="0"/>
        <w:keepLines w:val="0"/>
        <w:pageBreakBefore w:val="0"/>
        <w:widowControl w:val="0"/>
        <w:numPr>
          <w:ilvl w:val="0"/>
          <w:numId w:val="1"/>
        </w:numPr>
        <w:suppressAutoHyphens/>
        <w:kinsoku/>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napToGrid w:val="0"/>
          <w:sz w:val="32"/>
          <w:szCs w:val="32"/>
        </w:rPr>
      </w:pPr>
      <w:r>
        <w:rPr>
          <w:rFonts w:hint="eastAsia" w:ascii="黑体" w:hAnsi="黑体" w:eastAsia="黑体" w:cs="黑体"/>
          <w:b w:val="0"/>
          <w:bCs/>
          <w:snapToGrid w:val="0"/>
          <w:sz w:val="32"/>
          <w:szCs w:val="32"/>
        </w:rPr>
        <w:t>评选方式</w:t>
      </w:r>
    </w:p>
    <w:p>
      <w:pPr>
        <w:pStyle w:val="6"/>
        <w:keepNext w:val="0"/>
        <w:keepLines w:val="0"/>
        <w:pageBreakBefore w:val="0"/>
        <w:widowControl w:val="0"/>
        <w:kinsoku/>
        <w:overflowPunct/>
        <w:topLinePunct w:val="0"/>
        <w:autoSpaceDE/>
        <w:autoSpaceDN/>
        <w:bidi w:val="0"/>
        <w:spacing w:line="520" w:lineRule="exact"/>
        <w:ind w:firstLine="643"/>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请各单位按照《全国第十届“书香三八”读书活动方案》（见附件1）要求，统一将参赛作品报送至全国“书香三八”读书活动组委会。组委会将对各单位报送的各类作品在全国范围内进行统一评选。省总工会将参照“书香三八”读书活动作品评选要求，对各单位报送的征文、家书、书画阅读及摄影阅读作品进行统一评选，并对优秀作品进行展示。省总工会拥有对参评作品的宣传、展示和出版权。</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napToGrid w:val="0"/>
          <w:sz w:val="32"/>
          <w:szCs w:val="32"/>
        </w:rPr>
        <w:t>请各单位于7月15日前将《读书活动开展情况统计表》及活动实施图片报送省教育工会。</w:t>
      </w:r>
      <w:r>
        <w:rPr>
          <w:rFonts w:hint="eastAsia" w:ascii="仿宋_GB2312" w:hAnsi="仿宋_GB2312" w:eastAsia="仿宋_GB2312" w:cs="仿宋_GB2312"/>
          <w:b w:val="0"/>
          <w:bCs/>
          <w:sz w:val="32"/>
          <w:szCs w:val="32"/>
        </w:rPr>
        <w:t>联系人：赵晓枫，联系电话：0531-81676878，邮箱：sdjyghzxf@163.com。</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napToGrid w:val="0"/>
          <w:sz w:val="32"/>
          <w:szCs w:val="32"/>
        </w:rPr>
      </w:pPr>
    </w:p>
    <w:p>
      <w:pPr>
        <w:keepNext w:val="0"/>
        <w:keepLines w:val="0"/>
        <w:pageBreakBefore w:val="0"/>
        <w:widowControl w:val="0"/>
        <w:kinsoku/>
        <w:overflowPunct/>
        <w:topLinePunct w:val="0"/>
        <w:autoSpaceDE/>
        <w:autoSpaceDN/>
        <w:bidi w:val="0"/>
        <w:spacing w:line="520" w:lineRule="exact"/>
        <w:ind w:left="1659" w:leftChars="331" w:hanging="964" w:hangingChars="3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bCs w:val="0"/>
          <w:snapToGrid w:val="0"/>
          <w:sz w:val="32"/>
          <w:szCs w:val="32"/>
        </w:rPr>
        <w:t>附件：</w:t>
      </w:r>
      <w:r>
        <w:rPr>
          <w:rFonts w:hint="eastAsia" w:ascii="仿宋_GB2312" w:hAnsi="仿宋_GB2312" w:eastAsia="仿宋_GB2312" w:cs="仿宋_GB2312"/>
          <w:b w:val="0"/>
          <w:bCs/>
          <w:snapToGrid w:val="0"/>
          <w:sz w:val="32"/>
          <w:szCs w:val="32"/>
        </w:rPr>
        <w:t>1.全国第十届“书香三八”读书活动方案</w:t>
      </w:r>
    </w:p>
    <w:p>
      <w:pPr>
        <w:keepNext w:val="0"/>
        <w:keepLines w:val="0"/>
        <w:pageBreakBefore w:val="0"/>
        <w:widowControl w:val="0"/>
        <w:numPr>
          <w:ilvl w:val="0"/>
          <w:numId w:val="0"/>
        </w:numPr>
        <w:kinsoku/>
        <w:overflowPunct/>
        <w:topLinePunct w:val="0"/>
        <w:autoSpaceDE/>
        <w:autoSpaceDN/>
        <w:bidi w:val="0"/>
        <w:spacing w:line="520" w:lineRule="exact"/>
        <w:ind w:firstLine="1600" w:firstLineChars="5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lang w:val="en-US" w:eastAsia="zh-CN"/>
        </w:rPr>
        <w:t>2.</w:t>
      </w:r>
      <w:r>
        <w:rPr>
          <w:rFonts w:hint="eastAsia" w:ascii="仿宋_GB2312" w:hAnsi="仿宋_GB2312" w:eastAsia="仿宋_GB2312" w:cs="仿宋_GB2312"/>
          <w:b w:val="0"/>
          <w:bCs/>
          <w:snapToGrid w:val="0"/>
          <w:sz w:val="32"/>
          <w:szCs w:val="32"/>
        </w:rPr>
        <w:t>山东省第一届“书香伴我行”女职工阅读优秀</w:t>
      </w:r>
    </w:p>
    <w:p>
      <w:pPr>
        <w:keepNext w:val="0"/>
        <w:keepLines w:val="0"/>
        <w:pageBreakBefore w:val="0"/>
        <w:widowControl w:val="0"/>
        <w:numPr>
          <w:ilvl w:val="0"/>
          <w:numId w:val="0"/>
        </w:numPr>
        <w:kinsoku/>
        <w:overflowPunct/>
        <w:topLinePunct w:val="0"/>
        <w:autoSpaceDE/>
        <w:autoSpaceDN/>
        <w:bidi w:val="0"/>
        <w:spacing w:line="520" w:lineRule="exact"/>
        <w:ind w:firstLine="1920" w:firstLineChars="6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作品评选方案</w:t>
      </w:r>
    </w:p>
    <w:p>
      <w:pPr>
        <w:keepNext w:val="0"/>
        <w:keepLines w:val="0"/>
        <w:pageBreakBefore w:val="0"/>
        <w:widowControl w:val="0"/>
        <w:kinsoku/>
        <w:overflowPunct/>
        <w:topLinePunct w:val="0"/>
        <w:autoSpaceDE/>
        <w:autoSpaceDN/>
        <w:bidi w:val="0"/>
        <w:spacing w:line="520" w:lineRule="exact"/>
        <w:ind w:left="1598" w:leftChars="761"/>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3.读书活动开展情况统计表</w:t>
      </w:r>
    </w:p>
    <w:p>
      <w:pPr>
        <w:keepNext w:val="0"/>
        <w:keepLines w:val="0"/>
        <w:pageBreakBefore w:val="0"/>
        <w:widowControl w:val="0"/>
        <w:kinsoku/>
        <w:overflowPunct/>
        <w:topLinePunct w:val="0"/>
        <w:autoSpaceDE/>
        <w:autoSpaceDN/>
        <w:bidi w:val="0"/>
        <w:spacing w:line="520" w:lineRule="exact"/>
        <w:ind w:left="1655" w:leftChars="331" w:hanging="960" w:hangingChars="300"/>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 xml:space="preserve"> </w:t>
      </w:r>
    </w:p>
    <w:p>
      <w:pPr>
        <w:keepNext w:val="0"/>
        <w:keepLines w:val="0"/>
        <w:pageBreakBefore w:val="0"/>
        <w:widowControl w:val="0"/>
        <w:kinsoku/>
        <w:overflowPunct/>
        <w:topLinePunct w:val="0"/>
        <w:autoSpaceDE/>
        <w:autoSpaceDN/>
        <w:bidi w:val="0"/>
        <w:spacing w:line="520" w:lineRule="exact"/>
        <w:ind w:left="1655" w:leftChars="331" w:hanging="960" w:hangingChars="300"/>
        <w:textAlignment w:val="auto"/>
        <w:rPr>
          <w:rFonts w:hint="eastAsia" w:ascii="仿宋_GB2312" w:hAnsi="仿宋_GB2312" w:eastAsia="仿宋_GB2312" w:cs="仿宋_GB2312"/>
          <w:b w:val="0"/>
          <w:bCs/>
          <w:snapToGrid w:val="0"/>
          <w:sz w:val="32"/>
          <w:szCs w:val="32"/>
        </w:rPr>
      </w:pPr>
    </w:p>
    <w:p>
      <w:pPr>
        <w:keepNext w:val="0"/>
        <w:keepLines w:val="0"/>
        <w:pageBreakBefore w:val="0"/>
        <w:widowControl w:val="0"/>
        <w:kinsoku/>
        <w:wordWrap w:val="0"/>
        <w:overflowPunct/>
        <w:topLinePunct w:val="0"/>
        <w:autoSpaceDE/>
        <w:autoSpaceDN/>
        <w:bidi w:val="0"/>
        <w:spacing w:line="520" w:lineRule="exact"/>
        <w:ind w:right="23" w:rightChars="11"/>
        <w:jc w:val="right"/>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rPr>
        <w:t xml:space="preserve">山东省教育工会委员会    </w:t>
      </w:r>
    </w:p>
    <w:p>
      <w:pPr>
        <w:keepNext w:val="0"/>
        <w:keepLines w:val="0"/>
        <w:pageBreakBefore w:val="0"/>
        <w:widowControl w:val="0"/>
        <w:kinsoku/>
        <w:wordWrap w:val="0"/>
        <w:overflowPunct/>
        <w:topLinePunct w:val="0"/>
        <w:autoSpaceDE/>
        <w:autoSpaceDN/>
        <w:bidi w:val="0"/>
        <w:spacing w:line="520" w:lineRule="exact"/>
        <w:ind w:right="23" w:rightChars="11"/>
        <w:jc w:val="center"/>
        <w:textAlignment w:val="auto"/>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lang w:val="en-US" w:eastAsia="zh-CN"/>
        </w:rPr>
        <w:t xml:space="preserve">                             </w:t>
      </w:r>
      <w:r>
        <w:rPr>
          <w:rFonts w:hint="eastAsia" w:ascii="仿宋_GB2312" w:hAnsi="仿宋_GB2312" w:eastAsia="仿宋_GB2312" w:cs="仿宋_GB2312"/>
          <w:b w:val="0"/>
          <w:bCs/>
          <w:snapToGrid w:val="0"/>
          <w:sz w:val="32"/>
          <w:szCs w:val="32"/>
        </w:rPr>
        <w:t xml:space="preserve">2022年2月14日    </w:t>
      </w:r>
    </w:p>
    <w:p>
      <w:pPr>
        <w:spacing w:line="580" w:lineRule="exact"/>
        <w:rPr>
          <w:rFonts w:ascii="黑体" w:hAnsi="黑体" w:eastAsia="黑体" w:cs="黑体"/>
          <w:b/>
          <w:sz w:val="32"/>
          <w:szCs w:val="32"/>
        </w:rPr>
      </w:pPr>
      <w:r>
        <w:rPr>
          <w:rFonts w:hint="eastAsia" w:ascii="仿宋_GB2312" w:hAnsi="仿宋_GB2312" w:eastAsia="仿宋_GB2312" w:cs="仿宋_GB2312"/>
          <w:b w:val="0"/>
          <w:bCs/>
          <w:sz w:val="32"/>
          <w:szCs w:val="32"/>
        </w:rPr>
        <w:br w:type="page"/>
      </w:r>
      <w:r>
        <w:rPr>
          <w:rFonts w:hint="eastAsia" w:ascii="黑体" w:hAnsi="黑体" w:eastAsia="黑体" w:cs="黑体"/>
          <w:b w:val="0"/>
          <w:bCs/>
          <w:sz w:val="32"/>
          <w:szCs w:val="32"/>
        </w:rPr>
        <w:t>附件1</w:t>
      </w:r>
    </w:p>
    <w:p>
      <w:pPr>
        <w:spacing w:line="580" w:lineRule="exact"/>
        <w:jc w:val="center"/>
        <w:rPr>
          <w:rFonts w:ascii="方正小标宋简体" w:hAnsi="黑体" w:eastAsia="方正小标宋简体"/>
          <w:b/>
          <w:sz w:val="44"/>
          <w:szCs w:val="44"/>
        </w:rPr>
      </w:pPr>
    </w:p>
    <w:p>
      <w:pPr>
        <w:spacing w:line="580" w:lineRule="exact"/>
        <w:jc w:val="center"/>
        <w:rPr>
          <w:rFonts w:ascii="方正小标宋简体" w:hAnsi="黑体" w:eastAsia="方正小标宋简体"/>
          <w:b/>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全国第十届“书香三八”读书活动方案</w:t>
      </w:r>
    </w:p>
    <w:p>
      <w:pPr>
        <w:spacing w:line="580" w:lineRule="exact"/>
        <w:ind w:firstLine="643" w:firstLineChars="200"/>
        <w:rPr>
          <w:rFonts w:ascii="仿宋_GB2312" w:hAnsi="宋体" w:eastAsia="仿宋_GB2312"/>
          <w:b/>
          <w:snapToGrid w:val="0"/>
          <w:kern w:val="0"/>
          <w:sz w:val="32"/>
          <w:szCs w:val="32"/>
        </w:rPr>
      </w:pPr>
    </w:p>
    <w:p>
      <w:pPr>
        <w:keepNext w:val="0"/>
        <w:keepLines w:val="0"/>
        <w:pageBreakBefore w:val="0"/>
        <w:widowControl w:val="0"/>
        <w:kinsoku/>
        <w:wordWrap/>
        <w:overflowPunct/>
        <w:topLinePunct w:val="0"/>
        <w:bidi w:val="0"/>
        <w:snapToGrid/>
        <w:spacing w:line="600" w:lineRule="exact"/>
        <w:ind w:firstLine="640"/>
        <w:rPr>
          <w:rFonts w:hint="eastAsia" w:ascii="仿宋_GB2312" w:hAnsi="仿宋_GB2312" w:eastAsia="仿宋_GB2312" w:cs="仿宋_GB2312"/>
          <w:b w:val="0"/>
          <w:bCs/>
          <w:snapToGrid w:val="0"/>
          <w:kern w:val="0"/>
          <w:sz w:val="32"/>
          <w:szCs w:val="32"/>
        </w:rPr>
      </w:pPr>
      <w:r>
        <w:rPr>
          <w:rFonts w:hint="eastAsia" w:ascii="黑体" w:hAnsi="黑体" w:eastAsia="黑体" w:cs="黑体"/>
          <w:b w:val="0"/>
          <w:bCs/>
          <w:snapToGrid w:val="0"/>
          <w:kern w:val="0"/>
          <w:sz w:val="32"/>
          <w:szCs w:val="32"/>
        </w:rPr>
        <w:t>一、活动主题</w:t>
      </w:r>
    </w:p>
    <w:p>
      <w:pPr>
        <w:pStyle w:val="6"/>
        <w:keepNext w:val="0"/>
        <w:keepLines w:val="0"/>
        <w:pageBreakBefore w:val="0"/>
        <w:widowControl w:val="0"/>
        <w:kinsoku/>
        <w:wordWrap/>
        <w:overflowPunct/>
        <w:topLinePunct w:val="0"/>
        <w:bidi w:val="0"/>
        <w:snapToGrid/>
        <w:spacing w:line="600" w:lineRule="exact"/>
        <w:ind w:firstLine="643"/>
        <w:rPr>
          <w:rFonts w:hint="eastAsia" w:ascii="仿宋_GB2312" w:hAnsi="仿宋_GB2312" w:eastAsia="仿宋_GB2312" w:cs="仿宋_GB2312"/>
          <w:b w:val="0"/>
          <w:bCs/>
          <w:snapToGrid w:val="0"/>
          <w:sz w:val="32"/>
          <w:szCs w:val="32"/>
        </w:rPr>
      </w:pPr>
      <w:r>
        <w:rPr>
          <w:rFonts w:hint="eastAsia" w:ascii="仿宋_GB2312" w:hAnsi="仿宋_GB2312" w:eastAsia="仿宋_GB2312" w:cs="仿宋_GB2312"/>
          <w:b w:val="0"/>
          <w:bCs/>
          <w:snapToGrid w:val="0"/>
          <w:sz w:val="32"/>
          <w:szCs w:val="32"/>
          <w:lang w:val="zh-CN"/>
        </w:rPr>
        <w:t>书香满庭芳·奋斗新征程</w:t>
      </w:r>
    </w:p>
    <w:p>
      <w:pPr>
        <w:keepNext w:val="0"/>
        <w:keepLines w:val="0"/>
        <w:pageBreakBefore w:val="0"/>
        <w:widowControl w:val="0"/>
        <w:kinsoku/>
        <w:wordWrap/>
        <w:overflowPunct/>
        <w:topLinePunct w:val="0"/>
        <w:bidi w:val="0"/>
        <w:snapToGrid/>
        <w:spacing w:line="600" w:lineRule="exact"/>
        <w:ind w:firstLine="640"/>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二、时间安排</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1.作品选送截止日期：2022年7月31日</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2.组织奖项申报截止日期：2022年8月31日</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3.作品评审时间：2022年8月1日至2022年10月31日</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4.总结表彰时间：2022年12月1日，举行第十届“书香三八”读书活动颁奖典礼暨第十一届“书香三八”读书活动启动仪式</w:t>
      </w:r>
    </w:p>
    <w:p>
      <w:pPr>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三、奖项设置</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楷体_GB2312" w:hAnsi="楷体_GB2312" w:eastAsia="楷体_GB2312" w:cs="楷体_GB2312"/>
          <w:b w:val="0"/>
          <w:bCs/>
          <w:snapToGrid w:val="0"/>
          <w:kern w:val="0"/>
          <w:sz w:val="32"/>
          <w:szCs w:val="32"/>
          <w:lang w:val="zh-CN"/>
        </w:rPr>
        <w:t>1.组织奖项</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特别组织奖、优秀组织奖若干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楷体_GB2312" w:hAnsi="楷体_GB2312" w:eastAsia="楷体_GB2312" w:cs="楷体_GB2312"/>
          <w:b w:val="0"/>
          <w:bCs/>
          <w:snapToGrid w:val="0"/>
          <w:kern w:val="0"/>
          <w:sz w:val="32"/>
          <w:szCs w:val="32"/>
          <w:lang w:val="zh-CN"/>
        </w:rPr>
        <w:t>2.个人奖项</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征文奖：一等奖30篇、二等奖50篇、三等奖80篇、优秀奖若干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家书奖：一等奖10篇、二等奖20篇、三等奖50篇、优秀奖若干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书画阅读奖：一等奖10幅（组）、二等奖20幅（组）、三等奖50幅（组）、优秀奖若干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摄影阅读奖：一等奖10件、二等奖20件、三等奖50件、优秀奖若干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表演阅读奖：一等奖10部、二等奖20部、三等奖50部、优秀奖若干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楷体_GB2312" w:hAnsi="楷体_GB2312" w:eastAsia="楷体_GB2312" w:cs="楷体_GB2312"/>
          <w:b w:val="0"/>
          <w:bCs/>
          <w:snapToGrid w:val="0"/>
          <w:kern w:val="0"/>
          <w:sz w:val="32"/>
          <w:szCs w:val="32"/>
          <w:lang w:val="zh-CN"/>
        </w:rPr>
        <w:t>3.特别奖项</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优秀领读奖、优秀会员奖、创新奖若干</w:t>
      </w:r>
    </w:p>
    <w:p>
      <w:pPr>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四、投稿须知</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1.所有作品，可在“书香三八”读书活动官方网站或“书香三八”微信公众号上进行在线投稿。</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路径：www.shuxiang38.com→通知公告→第十届“书香三八”读书活动在线投稿教程</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2.作品必须切合活动主题，须本人最新原创。</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3.主题征文、一封家书、表演阅读、书画阅读、摄影阅读，仅限投其中一类作品。</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4.“书香三八”读书活动承办单位拥有参评作品的宣传、展示和出版权。</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黑体" w:hAnsi="黑体" w:eastAsia="黑体" w:cs="黑体"/>
          <w:b w:val="0"/>
          <w:bCs/>
          <w:snapToGrid w:val="0"/>
          <w:kern w:val="0"/>
          <w:sz w:val="32"/>
          <w:szCs w:val="32"/>
        </w:rPr>
        <w:t>五、参评作品要求</w:t>
      </w:r>
    </w:p>
    <w:p>
      <w:pPr>
        <w:keepNext w:val="0"/>
        <w:keepLines w:val="0"/>
        <w:pageBreakBefore w:val="0"/>
        <w:widowControl w:val="0"/>
        <w:kinsoku/>
        <w:wordWrap/>
        <w:overflowPunct/>
        <w:topLinePunct w:val="0"/>
        <w:bidi w:val="0"/>
        <w:snapToGrid/>
        <w:spacing w:line="600" w:lineRule="exact"/>
        <w:ind w:firstLine="640" w:firstLineChars="200"/>
        <w:rPr>
          <w:rFonts w:hint="eastAsia" w:ascii="楷体_GB2312" w:hAnsi="楷体_GB2312" w:eastAsia="楷体_GB2312" w:cs="楷体_GB2312"/>
          <w:b w:val="0"/>
          <w:bCs/>
          <w:snapToGrid w:val="0"/>
          <w:kern w:val="0"/>
          <w:sz w:val="32"/>
          <w:szCs w:val="32"/>
        </w:rPr>
      </w:pPr>
      <w:r>
        <w:rPr>
          <w:rFonts w:hint="eastAsia" w:ascii="楷体_GB2312" w:hAnsi="楷体_GB2312" w:eastAsia="楷体_GB2312" w:cs="楷体_GB2312"/>
          <w:b w:val="0"/>
          <w:bCs/>
          <w:snapToGrid w:val="0"/>
          <w:kern w:val="0"/>
          <w:sz w:val="32"/>
          <w:szCs w:val="32"/>
        </w:rPr>
        <w:t>（一）征文作品要求</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1.品读活动用书，结合活动主题创作，题目自拟，体裁不限。</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2.构思巧妙，结构完整，写法独特，内容饱满，文字优美。作品内容，可写为美好生活而奋斗的感人故事，品读活动用书后的深刻体悟，以阅读之美、家庭幸福为题材的美文等。作品内容涉及宗教、迷信或非主流文化等不予参评。</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3.用心创作，反复打磨，作品质量较差不予参评。</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4.字数控制在1000～2500字，诗歌除外。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楷体_GB2312" w:hAnsi="楷体_GB2312" w:eastAsia="楷体_GB2312" w:cs="楷体_GB2312"/>
          <w:b w:val="0"/>
          <w:bCs/>
          <w:snapToGrid w:val="0"/>
          <w:kern w:val="0"/>
          <w:sz w:val="32"/>
          <w:szCs w:val="32"/>
        </w:rPr>
        <w:t>（二）家书作品要求</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1.写给父母、恋人、丈夫、孩子及其他亲人。</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rPr>
        <w:t>2.</w:t>
      </w:r>
      <w:r>
        <w:rPr>
          <w:rFonts w:hint="eastAsia" w:ascii="仿宋_GB2312" w:hAnsi="仿宋_GB2312" w:eastAsia="仿宋_GB2312" w:cs="仿宋_GB2312"/>
          <w:b w:val="0"/>
          <w:bCs/>
          <w:snapToGrid w:val="0"/>
          <w:kern w:val="0"/>
          <w:sz w:val="32"/>
          <w:szCs w:val="32"/>
          <w:lang w:val="zh-CN"/>
        </w:rPr>
        <w:t>母亲与孩子的往来信件可以作为一个作品提交。</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rPr>
        <w:t>3.</w:t>
      </w:r>
      <w:r>
        <w:rPr>
          <w:rFonts w:hint="eastAsia" w:ascii="仿宋_GB2312" w:hAnsi="仿宋_GB2312" w:eastAsia="仿宋_GB2312" w:cs="仿宋_GB2312"/>
          <w:b w:val="0"/>
          <w:bCs/>
          <w:snapToGrid w:val="0"/>
          <w:kern w:val="0"/>
          <w:sz w:val="32"/>
          <w:szCs w:val="32"/>
          <w:lang w:val="zh-CN"/>
        </w:rPr>
        <w:t>构思巧妙，写法独特，结构完整，文美情深。</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rPr>
        <w:t>4.</w:t>
      </w:r>
      <w:r>
        <w:rPr>
          <w:rFonts w:hint="eastAsia" w:ascii="仿宋_GB2312" w:hAnsi="仿宋_GB2312" w:eastAsia="仿宋_GB2312" w:cs="仿宋_GB2312"/>
          <w:b w:val="0"/>
          <w:bCs/>
          <w:snapToGrid w:val="0"/>
          <w:kern w:val="0"/>
          <w:sz w:val="32"/>
          <w:szCs w:val="32"/>
          <w:lang w:val="zh-CN"/>
        </w:rPr>
        <w:t>结合书信内容自拟新颖标题，书信格式规范，书信格式不规范、无标题的作品不予参评。</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5.</w:t>
      </w:r>
      <w:r>
        <w:rPr>
          <w:rFonts w:hint="eastAsia" w:ascii="仿宋_GB2312" w:hAnsi="仿宋_GB2312" w:eastAsia="仿宋_GB2312" w:cs="仿宋_GB2312"/>
          <w:b w:val="0"/>
          <w:bCs/>
          <w:snapToGrid w:val="0"/>
          <w:kern w:val="0"/>
          <w:sz w:val="32"/>
          <w:szCs w:val="32"/>
          <w:lang w:val="zh-CN"/>
        </w:rPr>
        <w:t>字数控制在1000～2500字。</w:t>
      </w:r>
    </w:p>
    <w:p>
      <w:pPr>
        <w:keepNext w:val="0"/>
        <w:keepLines w:val="0"/>
        <w:pageBreakBefore w:val="0"/>
        <w:widowControl w:val="0"/>
        <w:kinsoku/>
        <w:wordWrap/>
        <w:overflowPunct/>
        <w:topLinePunct w:val="0"/>
        <w:bidi w:val="0"/>
        <w:snapToGrid/>
        <w:spacing w:line="600" w:lineRule="exact"/>
        <w:ind w:firstLine="640" w:firstLineChars="200"/>
        <w:rPr>
          <w:rFonts w:hint="eastAsia" w:ascii="楷体_GB2312" w:hAnsi="楷体_GB2312" w:eastAsia="楷体_GB2312" w:cs="楷体_GB2312"/>
          <w:b w:val="0"/>
          <w:bCs/>
          <w:snapToGrid w:val="0"/>
          <w:kern w:val="0"/>
          <w:sz w:val="32"/>
          <w:szCs w:val="32"/>
        </w:rPr>
      </w:pPr>
      <w:r>
        <w:rPr>
          <w:rFonts w:hint="eastAsia" w:ascii="楷体_GB2312" w:hAnsi="楷体_GB2312" w:eastAsia="楷体_GB2312" w:cs="楷体_GB2312"/>
          <w:b w:val="0"/>
          <w:bCs/>
          <w:snapToGrid w:val="0"/>
          <w:kern w:val="0"/>
          <w:sz w:val="32"/>
          <w:szCs w:val="32"/>
        </w:rPr>
        <w:t>（三）表演阅读作品要求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1.以单位组织创作、推荐为主，作品内容凸显活动主题，主要表演者为女性。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2.作品形式多样，情景剧、舞蹈、演唱、乐器演奏、小品、微视频、主题演讲、配乐朗诵等，作品时长控制在3～8分钟。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3.投稿视频文件格式为MP4文件，文件大小控制在200M以内，大于200M系统将不接受上传，文件命名为作品标题（例：阅读中的幸福.MP4）。如需视频压缩软件，请在官方网站第十届在线投稿教程页面进行下载（路径：www.shuxiang38.com→通知公告→第十届“书香三八”读书活动在线投稿教程）。</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rPr>
      </w:pPr>
      <w:r>
        <w:rPr>
          <w:rFonts w:hint="eastAsia" w:ascii="楷体_GB2312" w:hAnsi="楷体_GB2312" w:eastAsia="楷体_GB2312" w:cs="楷体_GB2312"/>
          <w:b w:val="0"/>
          <w:bCs/>
          <w:snapToGrid w:val="0"/>
          <w:kern w:val="0"/>
          <w:sz w:val="32"/>
          <w:szCs w:val="32"/>
        </w:rPr>
        <w:t>（四）书画阅读作品要求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1.创作紧扣活动用书内容，突出活动主题。脱离主题的作品、电脑绘画、临摹、手工艺等作品不予参评。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2.作品须采用书画专用纸，横幅或纵幅不小于68cm。硬笔书法作品横幅或纵幅不小于34cm。</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3.投稿作品须本人原创，不侵犯他人合法权益。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4.每人限投书法或绘画一类作品，须署名。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5.投稿作品可为JPG、JPEG格式文件, 文件大小控制在2～6M，大于6M系统将不接受上传，文件命名作品标题（例：阅读中的幸福.jpg）。</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6.入围作品须提供原件（无需装裱）至组委会进行复评、终评。</w:t>
      </w:r>
    </w:p>
    <w:p>
      <w:pPr>
        <w:keepNext w:val="0"/>
        <w:keepLines w:val="0"/>
        <w:pageBreakBefore w:val="0"/>
        <w:widowControl w:val="0"/>
        <w:kinsoku/>
        <w:wordWrap/>
        <w:overflowPunct/>
        <w:topLinePunct w:val="0"/>
        <w:bidi w:val="0"/>
        <w:snapToGrid/>
        <w:spacing w:line="600" w:lineRule="exact"/>
        <w:ind w:firstLine="640" w:firstLineChars="200"/>
        <w:rPr>
          <w:rFonts w:hint="eastAsia" w:ascii="楷体_GB2312" w:hAnsi="楷体_GB2312" w:eastAsia="楷体_GB2312" w:cs="楷体_GB2312"/>
          <w:b w:val="0"/>
          <w:bCs/>
          <w:snapToGrid w:val="0"/>
          <w:kern w:val="0"/>
          <w:sz w:val="32"/>
          <w:szCs w:val="32"/>
        </w:rPr>
      </w:pPr>
      <w:r>
        <w:rPr>
          <w:rFonts w:hint="eastAsia" w:ascii="楷体_GB2312" w:hAnsi="楷体_GB2312" w:eastAsia="楷体_GB2312" w:cs="楷体_GB2312"/>
          <w:b w:val="0"/>
          <w:bCs/>
          <w:snapToGrid w:val="0"/>
          <w:kern w:val="0"/>
          <w:sz w:val="32"/>
          <w:szCs w:val="32"/>
        </w:rPr>
        <w:t>（五）摄影阅读作品要求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1.用摄影的艺术形式，有创意地体现活动主题。用纪实的手法拍摄女性为美好生活而奋斗的精彩瞬间，用独特的视角呈现阅读之美、幸福生活等。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2.拍摄设备、表现风格和形式不限。所有作品需附简要文字说明；纪实类作品可以做整体色彩变动和剪裁，不得局部增减内容和改变色彩。每位作者限投1幅作品，不收组照。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3.作品须本人原创，且不侵犯他人的肖像权、著作权、隐私权和名誉权等，因作品或投稿行为所产生的相关法律责任由投稿者自行承担。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kern w:val="0"/>
          <w:sz w:val="32"/>
          <w:szCs w:val="32"/>
        </w:rPr>
      </w:pPr>
      <w:r>
        <w:rPr>
          <w:rFonts w:hint="eastAsia" w:ascii="仿宋_GB2312" w:hAnsi="仿宋_GB2312" w:eastAsia="仿宋_GB2312" w:cs="仿宋_GB2312"/>
          <w:b w:val="0"/>
          <w:bCs/>
          <w:snapToGrid w:val="0"/>
          <w:kern w:val="0"/>
          <w:sz w:val="32"/>
          <w:szCs w:val="32"/>
        </w:rPr>
        <w:t>4.投稿作品可为JPG、JPEG格式文件, 文件大小控制在2～6M，大于6M系统将不接受上传，文件命名为作品标题（例：幸福的阳光.jpg）。</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楷体_GB2312" w:hAnsi="楷体_GB2312" w:eastAsia="楷体_GB2312" w:cs="楷体_GB2312"/>
          <w:b w:val="0"/>
          <w:bCs/>
          <w:snapToGrid w:val="0"/>
          <w:color w:val="000000"/>
          <w:kern w:val="0"/>
          <w:sz w:val="32"/>
          <w:szCs w:val="32"/>
          <w:lang w:val="zh-CN"/>
        </w:rPr>
      </w:pPr>
      <w:r>
        <w:rPr>
          <w:rFonts w:hint="eastAsia" w:ascii="黑体" w:hAnsi="黑体" w:eastAsia="黑体" w:cs="黑体"/>
          <w:b w:val="0"/>
          <w:bCs/>
          <w:snapToGrid w:val="0"/>
          <w:kern w:val="0"/>
          <w:sz w:val="32"/>
          <w:szCs w:val="32"/>
        </w:rPr>
        <w:t>六、</w:t>
      </w:r>
      <w:r>
        <w:rPr>
          <w:rFonts w:hint="eastAsia" w:ascii="黑体" w:hAnsi="黑体" w:eastAsia="黑体" w:cs="黑体"/>
          <w:b w:val="0"/>
          <w:bCs/>
          <w:snapToGrid w:val="0"/>
          <w:color w:val="000000"/>
          <w:kern w:val="0"/>
          <w:sz w:val="32"/>
          <w:szCs w:val="32"/>
          <w:lang w:val="zh-CN"/>
        </w:rPr>
        <w:t>第十届活动用书</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《巾帼书香》“书香三八”读书活动组委会编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《书香坊：阅读服务手册》（移动的书坊，365天阅读陪伴与分享）</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0"/>
        <w:textAlignment w:val="center"/>
        <w:rPr>
          <w:rFonts w:hint="eastAsia" w:ascii="仿宋_GB2312" w:hAnsi="仿宋_GB2312" w:eastAsia="仿宋_GB2312" w:cs="仿宋_GB2312"/>
          <w:b w:val="0"/>
          <w:bCs/>
          <w:snapToGrid w:val="0"/>
          <w:color w:val="000000"/>
          <w:kern w:val="0"/>
          <w:sz w:val="32"/>
          <w:szCs w:val="32"/>
          <w:lang w:val="zh-CN"/>
        </w:rPr>
      </w:pPr>
      <w:r>
        <w:rPr>
          <w:rFonts w:hint="eastAsia" w:ascii="黑体" w:hAnsi="黑体" w:eastAsia="黑体" w:cs="黑体"/>
          <w:b w:val="0"/>
          <w:bCs/>
          <w:snapToGrid w:val="0"/>
          <w:kern w:val="0"/>
          <w:sz w:val="32"/>
          <w:szCs w:val="32"/>
          <w:lang w:val="zh-CN"/>
        </w:rPr>
        <w:t>七、推荐用书</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《人间正道——中共一大代表人物全传》  秦英君、张占斌、蒋建农主编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《家庭教育指导手册》（全六册）   中国教育学会编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《爱上阅读——阅读力就是幸福力》 徐升国主编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《幸福启航》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金子谦主编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《轻轻走向完美》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毕淑敏著</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《阅读与家风》《阅读与家教》     王红旗主编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《满庭芬芳》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 xml:space="preserve">杨子忱主编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《奔跑吧，姐妹》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 xml:space="preserve">何青志主编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《人生最美是初心》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宁新路主编</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《孔母：颜征在》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林锋、叶长强著</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《我的阅读观》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 xml:space="preserve">朱永新著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《精简生活整理术》  </w:t>
      </w:r>
      <w:r>
        <w:rPr>
          <w:rFonts w:hint="eastAsia" w:ascii="仿宋_GB2312" w:hAnsi="仿宋_GB2312" w:eastAsia="仿宋_GB2312" w:cs="仿宋_GB2312"/>
          <w:b w:val="0"/>
          <w:bCs/>
          <w:snapToGrid w:val="0"/>
          <w:kern w:val="0"/>
          <w:sz w:val="32"/>
          <w:szCs w:val="32"/>
        </w:rPr>
        <w:t xml:space="preserve">             </w:t>
      </w:r>
      <w:r>
        <w:rPr>
          <w:rFonts w:hint="eastAsia" w:ascii="仿宋_GB2312" w:hAnsi="仿宋_GB2312" w:eastAsia="仿宋_GB2312" w:cs="仿宋_GB2312"/>
          <w:b w:val="0"/>
          <w:bCs/>
          <w:snapToGrid w:val="0"/>
          <w:kern w:val="0"/>
          <w:sz w:val="32"/>
          <w:szCs w:val="32"/>
          <w:lang w:val="zh-CN"/>
        </w:rPr>
        <w:t>张丹著</w:t>
      </w:r>
    </w:p>
    <w:p>
      <w:pPr>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八、组委会联系方式</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联系人：李正勇　15910890382（手机、微信同）</w:t>
      </w:r>
    </w:p>
    <w:p>
      <w:pPr>
        <w:keepNext w:val="0"/>
        <w:keepLines w:val="0"/>
        <w:pageBreakBefore w:val="0"/>
        <w:widowControl w:val="0"/>
        <w:kinsoku/>
        <w:wordWrap/>
        <w:overflowPunct/>
        <w:topLinePunct w:val="0"/>
        <w:bidi w:val="0"/>
        <w:snapToGrid/>
        <w:spacing w:line="600" w:lineRule="exact"/>
        <w:ind w:firstLine="1920" w:firstLineChars="6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QQ：1761003184</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地　址：北京市石景山区八大处路49号8号楼503室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 xml:space="preserve">“书香三八”读书活动读者互动QQ群号：302839710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网　址：www.shuxiang38.com　　</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邮　箱：shuxiang38@126.com</w:t>
      </w:r>
    </w:p>
    <w:p>
      <w:pPr>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欢迎关注“书香三八”微信公众号，进入书香坊讲堂直播间，共享阅读的精彩！</w:t>
      </w:r>
    </w:p>
    <w:p>
      <w:pPr>
        <w:autoSpaceDE w:val="0"/>
        <w:autoSpaceDN w:val="0"/>
        <w:adjustRightInd w:val="0"/>
        <w:spacing w:line="620" w:lineRule="atLeast"/>
        <w:ind w:firstLine="652"/>
        <w:textAlignment w:val="center"/>
        <w:rPr>
          <w:rFonts w:hint="eastAsia" w:ascii="仿宋_GB2312" w:hAnsi="仿宋_GB2312" w:eastAsia="仿宋_GB2312" w:cs="仿宋_GB2312"/>
          <w:b w:val="0"/>
          <w:bCs/>
          <w:color w:val="000000"/>
          <w:kern w:val="0"/>
          <w:sz w:val="32"/>
          <w:szCs w:val="32"/>
          <w:lang w:val="zh-CN"/>
        </w:rPr>
      </w:pPr>
      <w:r>
        <w:rPr>
          <w:rFonts w:hint="eastAsia" w:ascii="仿宋_GB2312" w:hAnsi="仿宋_GB2312" w:eastAsia="仿宋_GB2312" w:cs="仿宋_GB2312"/>
          <w:b w:val="0"/>
          <w:bCs/>
          <w:color w:val="000000"/>
          <w:kern w:val="0"/>
          <w:sz w:val="32"/>
          <w:szCs w:val="32"/>
        </w:rPr>
        <w:drawing>
          <wp:anchor distT="0" distB="0" distL="114300" distR="114300" simplePos="0" relativeHeight="251659264" behindDoc="0" locked="0" layoutInCell="1" allowOverlap="1">
            <wp:simplePos x="0" y="0"/>
            <wp:positionH relativeFrom="column">
              <wp:posOffset>47625</wp:posOffset>
            </wp:positionH>
            <wp:positionV relativeFrom="paragraph">
              <wp:posOffset>100330</wp:posOffset>
            </wp:positionV>
            <wp:extent cx="5274310" cy="246697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274310" cy="2466975"/>
                    </a:xfrm>
                    <a:prstGeom prst="rect">
                      <a:avLst/>
                    </a:prstGeom>
                    <a:noFill/>
                    <a:ln w="9525">
                      <a:noFill/>
                    </a:ln>
                  </pic:spPr>
                </pic:pic>
              </a:graphicData>
            </a:graphic>
          </wp:anchor>
        </w:drawing>
      </w: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p>
      <w:pPr>
        <w:spacing w:line="580" w:lineRule="exact"/>
        <w:rPr>
          <w:rFonts w:hint="eastAsia" w:ascii="黑体" w:hAnsi="黑体" w:eastAsia="黑体" w:cs="黑体"/>
          <w:b w:val="0"/>
          <w:bCs/>
          <w:sz w:val="32"/>
          <w:szCs w:val="32"/>
        </w:rPr>
      </w:pPr>
    </w:p>
    <w:p>
      <w:pPr>
        <w:spacing w:line="580" w:lineRule="exact"/>
        <w:rPr>
          <w:rFonts w:hint="eastAsia" w:ascii="黑体" w:hAnsi="黑体" w:eastAsia="黑体" w:cs="黑体"/>
          <w:b w:val="0"/>
          <w:bCs/>
          <w:sz w:val="32"/>
          <w:szCs w:val="32"/>
        </w:rPr>
      </w:pPr>
    </w:p>
    <w:p>
      <w:pPr>
        <w:spacing w:line="580" w:lineRule="exact"/>
        <w:rPr>
          <w:rFonts w:ascii="方正小标宋简体" w:hAnsi="方正小标宋简体" w:eastAsia="方正小标宋简体" w:cs="方正小标宋简体"/>
          <w:b w:val="0"/>
          <w:bCs/>
          <w:sz w:val="32"/>
          <w:szCs w:val="32"/>
        </w:rPr>
      </w:pPr>
      <w:r>
        <w:rPr>
          <w:rFonts w:hint="eastAsia" w:ascii="黑体" w:hAnsi="黑体" w:eastAsia="黑体" w:cs="黑体"/>
          <w:b w:val="0"/>
          <w:bCs/>
          <w:sz w:val="32"/>
          <w:szCs w:val="32"/>
        </w:rPr>
        <w:t>附件2</w:t>
      </w:r>
    </w:p>
    <w:p>
      <w:pPr>
        <w:spacing w:line="620" w:lineRule="exact"/>
        <w:jc w:val="center"/>
        <w:rPr>
          <w:rFonts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山东省第一届“书香伴我行”女职工阅读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b/>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优秀作品评选方案</w:t>
      </w:r>
    </w:p>
    <w:p>
      <w:pPr>
        <w:spacing w:line="620" w:lineRule="exact"/>
        <w:ind w:firstLine="643" w:firstLineChars="200"/>
        <w:rPr>
          <w:rFonts w:ascii="仿宋" w:hAnsi="仿宋" w:eastAsia="仿宋" w:cs="仿宋"/>
          <w:b/>
          <w:snapToGrid w:val="0"/>
          <w:kern w:val="0"/>
          <w:sz w:val="32"/>
          <w:szCs w:val="32"/>
          <w:lang w:val="zh-CN"/>
        </w:rPr>
      </w:pPr>
    </w:p>
    <w:p>
      <w:pPr>
        <w:spacing w:line="580" w:lineRule="exact"/>
        <w:ind w:firstLine="640" w:firstLineChars="200"/>
        <w:rPr>
          <w:rFonts w:ascii="黑体" w:hAnsi="黑体" w:eastAsia="黑体" w:cs="黑体"/>
          <w:b w:val="0"/>
          <w:bCs/>
          <w:snapToGrid w:val="0"/>
          <w:kern w:val="0"/>
          <w:sz w:val="32"/>
          <w:szCs w:val="32"/>
          <w:lang w:val="zh-CN"/>
        </w:rPr>
      </w:pPr>
      <w:r>
        <w:rPr>
          <w:rFonts w:hint="eastAsia" w:ascii="黑体" w:hAnsi="黑体" w:eastAsia="黑体" w:cs="黑体"/>
          <w:b w:val="0"/>
          <w:bCs/>
          <w:snapToGrid w:val="0"/>
          <w:kern w:val="0"/>
          <w:sz w:val="32"/>
          <w:szCs w:val="32"/>
          <w:lang w:val="zh-CN"/>
        </w:rPr>
        <w:t>一、奖项设置</w:t>
      </w:r>
    </w:p>
    <w:p>
      <w:pPr>
        <w:spacing w:line="580" w:lineRule="exact"/>
        <w:ind w:firstLine="640" w:firstLineChars="200"/>
        <w:rPr>
          <w:rFonts w:hint="eastAsia" w:ascii="楷体_GB2312" w:hAnsi="楷体_GB2312" w:eastAsia="楷体_GB2312" w:cs="楷体_GB2312"/>
          <w:b w:val="0"/>
          <w:bCs/>
          <w:snapToGrid w:val="0"/>
          <w:kern w:val="0"/>
          <w:sz w:val="32"/>
          <w:szCs w:val="32"/>
          <w:lang w:val="zh-CN"/>
        </w:rPr>
      </w:pPr>
      <w:r>
        <w:rPr>
          <w:rFonts w:hint="eastAsia" w:ascii="楷体_GB2312" w:hAnsi="楷体_GB2312" w:eastAsia="楷体_GB2312" w:cs="楷体_GB2312"/>
          <w:b w:val="0"/>
          <w:bCs/>
          <w:snapToGrid w:val="0"/>
          <w:kern w:val="0"/>
          <w:sz w:val="32"/>
          <w:szCs w:val="32"/>
          <w:lang w:val="zh-CN"/>
        </w:rPr>
        <w:t>（一）组织奖项</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特别组织奖、优秀组织奖若干</w:t>
      </w:r>
    </w:p>
    <w:p>
      <w:pPr>
        <w:spacing w:line="580" w:lineRule="exact"/>
        <w:ind w:firstLine="640" w:firstLineChars="200"/>
        <w:rPr>
          <w:rFonts w:ascii="楷体" w:hAnsi="楷体" w:eastAsia="楷体" w:cs="楷体"/>
          <w:b w:val="0"/>
          <w:bCs/>
          <w:snapToGrid w:val="0"/>
          <w:kern w:val="0"/>
          <w:sz w:val="32"/>
          <w:szCs w:val="32"/>
          <w:lang w:val="zh-CN"/>
        </w:rPr>
      </w:pPr>
      <w:r>
        <w:rPr>
          <w:rFonts w:hint="eastAsia" w:ascii="楷体_GB2312" w:hAnsi="楷体_GB2312" w:eastAsia="楷体_GB2312" w:cs="楷体_GB2312"/>
          <w:b w:val="0"/>
          <w:bCs/>
          <w:snapToGrid w:val="0"/>
          <w:kern w:val="0"/>
          <w:sz w:val="32"/>
          <w:szCs w:val="32"/>
          <w:lang w:val="zh-CN"/>
        </w:rPr>
        <w:t>（二）个人奖项</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征文奖：一等奖</w:t>
      </w:r>
      <w:r>
        <w:rPr>
          <w:rFonts w:hint="eastAsia" w:ascii="仿宋_GB2312" w:hAnsi="仿宋_GB2312" w:eastAsia="仿宋_GB2312" w:cs="仿宋_GB2312"/>
          <w:b w:val="0"/>
          <w:bCs/>
          <w:snapToGrid w:val="0"/>
          <w:kern w:val="0"/>
          <w:sz w:val="32"/>
          <w:szCs w:val="32"/>
        </w:rPr>
        <w:t>1</w:t>
      </w:r>
      <w:r>
        <w:rPr>
          <w:rFonts w:hint="eastAsia" w:ascii="仿宋_GB2312" w:hAnsi="仿宋_GB2312" w:eastAsia="仿宋_GB2312" w:cs="仿宋_GB2312"/>
          <w:b w:val="0"/>
          <w:bCs/>
          <w:snapToGrid w:val="0"/>
          <w:kern w:val="0"/>
          <w:sz w:val="32"/>
          <w:szCs w:val="32"/>
          <w:lang w:val="zh-CN"/>
        </w:rPr>
        <w:t>0篇、二等奖</w:t>
      </w:r>
      <w:r>
        <w:rPr>
          <w:rFonts w:hint="eastAsia" w:ascii="仿宋_GB2312" w:hAnsi="仿宋_GB2312" w:eastAsia="仿宋_GB2312" w:cs="仿宋_GB2312"/>
          <w:b w:val="0"/>
          <w:bCs/>
          <w:snapToGrid w:val="0"/>
          <w:kern w:val="0"/>
          <w:sz w:val="32"/>
          <w:szCs w:val="32"/>
        </w:rPr>
        <w:t>2</w:t>
      </w:r>
      <w:r>
        <w:rPr>
          <w:rFonts w:hint="eastAsia" w:ascii="仿宋_GB2312" w:hAnsi="仿宋_GB2312" w:eastAsia="仿宋_GB2312" w:cs="仿宋_GB2312"/>
          <w:b w:val="0"/>
          <w:bCs/>
          <w:snapToGrid w:val="0"/>
          <w:kern w:val="0"/>
          <w:sz w:val="32"/>
          <w:szCs w:val="32"/>
          <w:lang w:val="zh-CN"/>
        </w:rPr>
        <w:t>0篇、三等奖</w:t>
      </w:r>
      <w:r>
        <w:rPr>
          <w:rFonts w:hint="eastAsia" w:ascii="仿宋_GB2312" w:hAnsi="仿宋_GB2312" w:eastAsia="仿宋_GB2312" w:cs="仿宋_GB2312"/>
          <w:b w:val="0"/>
          <w:bCs/>
          <w:snapToGrid w:val="0"/>
          <w:kern w:val="0"/>
          <w:sz w:val="32"/>
          <w:szCs w:val="32"/>
        </w:rPr>
        <w:t>3</w:t>
      </w:r>
      <w:r>
        <w:rPr>
          <w:rFonts w:hint="eastAsia" w:ascii="仿宋_GB2312" w:hAnsi="仿宋_GB2312" w:eastAsia="仿宋_GB2312" w:cs="仿宋_GB2312"/>
          <w:b w:val="0"/>
          <w:bCs/>
          <w:snapToGrid w:val="0"/>
          <w:kern w:val="0"/>
          <w:sz w:val="32"/>
          <w:szCs w:val="32"/>
          <w:lang w:val="zh-CN"/>
        </w:rPr>
        <w:t>0篇、优秀奖若干</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家书奖：一等奖</w:t>
      </w:r>
      <w:r>
        <w:rPr>
          <w:rFonts w:hint="eastAsia" w:ascii="仿宋_GB2312" w:hAnsi="仿宋_GB2312" w:eastAsia="仿宋_GB2312" w:cs="仿宋_GB2312"/>
          <w:b w:val="0"/>
          <w:bCs/>
          <w:snapToGrid w:val="0"/>
          <w:kern w:val="0"/>
          <w:sz w:val="32"/>
          <w:szCs w:val="32"/>
        </w:rPr>
        <w:t>5</w:t>
      </w:r>
      <w:r>
        <w:rPr>
          <w:rFonts w:hint="eastAsia" w:ascii="仿宋_GB2312" w:hAnsi="仿宋_GB2312" w:eastAsia="仿宋_GB2312" w:cs="仿宋_GB2312"/>
          <w:b w:val="0"/>
          <w:bCs/>
          <w:snapToGrid w:val="0"/>
          <w:kern w:val="0"/>
          <w:sz w:val="32"/>
          <w:szCs w:val="32"/>
          <w:lang w:val="zh-CN"/>
        </w:rPr>
        <w:t>篇、二等奖</w:t>
      </w:r>
      <w:r>
        <w:rPr>
          <w:rFonts w:hint="eastAsia" w:ascii="仿宋_GB2312" w:hAnsi="仿宋_GB2312" w:eastAsia="仿宋_GB2312" w:cs="仿宋_GB2312"/>
          <w:b w:val="0"/>
          <w:bCs/>
          <w:snapToGrid w:val="0"/>
          <w:kern w:val="0"/>
          <w:sz w:val="32"/>
          <w:szCs w:val="32"/>
        </w:rPr>
        <w:t>10</w:t>
      </w:r>
      <w:r>
        <w:rPr>
          <w:rFonts w:hint="eastAsia" w:ascii="仿宋_GB2312" w:hAnsi="仿宋_GB2312" w:eastAsia="仿宋_GB2312" w:cs="仿宋_GB2312"/>
          <w:b w:val="0"/>
          <w:bCs/>
          <w:snapToGrid w:val="0"/>
          <w:kern w:val="0"/>
          <w:sz w:val="32"/>
          <w:szCs w:val="32"/>
          <w:lang w:val="zh-CN"/>
        </w:rPr>
        <w:t>篇、三等奖</w:t>
      </w:r>
      <w:r>
        <w:rPr>
          <w:rFonts w:hint="eastAsia" w:ascii="仿宋_GB2312" w:hAnsi="仿宋_GB2312" w:eastAsia="仿宋_GB2312" w:cs="仿宋_GB2312"/>
          <w:b w:val="0"/>
          <w:bCs/>
          <w:snapToGrid w:val="0"/>
          <w:kern w:val="0"/>
          <w:sz w:val="32"/>
          <w:szCs w:val="32"/>
        </w:rPr>
        <w:t>15</w:t>
      </w:r>
      <w:r>
        <w:rPr>
          <w:rFonts w:hint="eastAsia" w:ascii="仿宋_GB2312" w:hAnsi="仿宋_GB2312" w:eastAsia="仿宋_GB2312" w:cs="仿宋_GB2312"/>
          <w:b w:val="0"/>
          <w:bCs/>
          <w:snapToGrid w:val="0"/>
          <w:kern w:val="0"/>
          <w:sz w:val="32"/>
          <w:szCs w:val="32"/>
          <w:lang w:val="zh-CN"/>
        </w:rPr>
        <w:t>篇、优秀奖若干</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书画阅读奖：一等奖</w:t>
      </w:r>
      <w:r>
        <w:rPr>
          <w:rFonts w:hint="eastAsia" w:ascii="仿宋_GB2312" w:hAnsi="仿宋_GB2312" w:eastAsia="仿宋_GB2312" w:cs="仿宋_GB2312"/>
          <w:b w:val="0"/>
          <w:bCs/>
          <w:snapToGrid w:val="0"/>
          <w:kern w:val="0"/>
          <w:sz w:val="32"/>
          <w:szCs w:val="32"/>
        </w:rPr>
        <w:t>5</w:t>
      </w:r>
      <w:r>
        <w:rPr>
          <w:rFonts w:hint="eastAsia" w:ascii="仿宋_GB2312" w:hAnsi="仿宋_GB2312" w:eastAsia="仿宋_GB2312" w:cs="仿宋_GB2312"/>
          <w:b w:val="0"/>
          <w:bCs/>
          <w:snapToGrid w:val="0"/>
          <w:kern w:val="0"/>
          <w:sz w:val="32"/>
          <w:szCs w:val="32"/>
          <w:lang w:val="zh-CN"/>
        </w:rPr>
        <w:t>幅（组）、二等奖</w:t>
      </w:r>
      <w:r>
        <w:rPr>
          <w:rFonts w:hint="eastAsia" w:ascii="仿宋_GB2312" w:hAnsi="仿宋_GB2312" w:eastAsia="仿宋_GB2312" w:cs="仿宋_GB2312"/>
          <w:b w:val="0"/>
          <w:bCs/>
          <w:snapToGrid w:val="0"/>
          <w:kern w:val="0"/>
          <w:sz w:val="32"/>
          <w:szCs w:val="32"/>
        </w:rPr>
        <w:t>1</w:t>
      </w:r>
      <w:r>
        <w:rPr>
          <w:rFonts w:hint="eastAsia" w:ascii="仿宋_GB2312" w:hAnsi="仿宋_GB2312" w:eastAsia="仿宋_GB2312" w:cs="仿宋_GB2312"/>
          <w:b w:val="0"/>
          <w:bCs/>
          <w:snapToGrid w:val="0"/>
          <w:kern w:val="0"/>
          <w:sz w:val="32"/>
          <w:szCs w:val="32"/>
          <w:lang w:val="zh-CN"/>
        </w:rPr>
        <w:t>0幅（组）、三等奖</w:t>
      </w:r>
      <w:r>
        <w:rPr>
          <w:rFonts w:hint="eastAsia" w:ascii="仿宋_GB2312" w:hAnsi="仿宋_GB2312" w:eastAsia="仿宋_GB2312" w:cs="仿宋_GB2312"/>
          <w:b w:val="0"/>
          <w:bCs/>
          <w:snapToGrid w:val="0"/>
          <w:kern w:val="0"/>
          <w:sz w:val="32"/>
          <w:szCs w:val="32"/>
        </w:rPr>
        <w:t>10</w:t>
      </w:r>
      <w:r>
        <w:rPr>
          <w:rFonts w:hint="eastAsia" w:ascii="仿宋_GB2312" w:hAnsi="仿宋_GB2312" w:eastAsia="仿宋_GB2312" w:cs="仿宋_GB2312"/>
          <w:b w:val="0"/>
          <w:bCs/>
          <w:snapToGrid w:val="0"/>
          <w:kern w:val="0"/>
          <w:sz w:val="32"/>
          <w:szCs w:val="32"/>
          <w:lang w:val="zh-CN"/>
        </w:rPr>
        <w:t>幅（组）、优秀奖若干</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摄影阅读奖：一等奖</w:t>
      </w:r>
      <w:r>
        <w:rPr>
          <w:rFonts w:hint="eastAsia" w:ascii="仿宋_GB2312" w:hAnsi="仿宋_GB2312" w:eastAsia="仿宋_GB2312" w:cs="仿宋_GB2312"/>
          <w:b w:val="0"/>
          <w:bCs/>
          <w:snapToGrid w:val="0"/>
          <w:kern w:val="0"/>
          <w:sz w:val="32"/>
          <w:szCs w:val="32"/>
        </w:rPr>
        <w:t>5</w:t>
      </w:r>
      <w:r>
        <w:rPr>
          <w:rFonts w:hint="eastAsia" w:ascii="仿宋_GB2312" w:hAnsi="仿宋_GB2312" w:eastAsia="仿宋_GB2312" w:cs="仿宋_GB2312"/>
          <w:b w:val="0"/>
          <w:bCs/>
          <w:snapToGrid w:val="0"/>
          <w:kern w:val="0"/>
          <w:sz w:val="32"/>
          <w:szCs w:val="32"/>
          <w:lang w:val="zh-CN"/>
        </w:rPr>
        <w:t>件、二等奖</w:t>
      </w:r>
      <w:r>
        <w:rPr>
          <w:rFonts w:hint="eastAsia" w:ascii="仿宋_GB2312" w:hAnsi="仿宋_GB2312" w:eastAsia="仿宋_GB2312" w:cs="仿宋_GB2312"/>
          <w:b w:val="0"/>
          <w:bCs/>
          <w:snapToGrid w:val="0"/>
          <w:kern w:val="0"/>
          <w:sz w:val="32"/>
          <w:szCs w:val="32"/>
        </w:rPr>
        <w:t>10</w:t>
      </w:r>
      <w:r>
        <w:rPr>
          <w:rFonts w:hint="eastAsia" w:ascii="仿宋_GB2312" w:hAnsi="仿宋_GB2312" w:eastAsia="仿宋_GB2312" w:cs="仿宋_GB2312"/>
          <w:b w:val="0"/>
          <w:bCs/>
          <w:snapToGrid w:val="0"/>
          <w:kern w:val="0"/>
          <w:sz w:val="32"/>
          <w:szCs w:val="32"/>
          <w:lang w:val="zh-CN"/>
        </w:rPr>
        <w:t>件、三等奖</w:t>
      </w:r>
      <w:r>
        <w:rPr>
          <w:rFonts w:hint="eastAsia" w:ascii="仿宋_GB2312" w:hAnsi="仿宋_GB2312" w:eastAsia="仿宋_GB2312" w:cs="仿宋_GB2312"/>
          <w:b w:val="0"/>
          <w:bCs/>
          <w:snapToGrid w:val="0"/>
          <w:kern w:val="0"/>
          <w:sz w:val="32"/>
          <w:szCs w:val="32"/>
        </w:rPr>
        <w:t>10</w:t>
      </w:r>
      <w:r>
        <w:rPr>
          <w:rFonts w:hint="eastAsia" w:ascii="仿宋_GB2312" w:hAnsi="仿宋_GB2312" w:eastAsia="仿宋_GB2312" w:cs="仿宋_GB2312"/>
          <w:b w:val="0"/>
          <w:bCs/>
          <w:snapToGrid w:val="0"/>
          <w:kern w:val="0"/>
          <w:sz w:val="32"/>
          <w:szCs w:val="32"/>
          <w:lang w:val="zh-CN"/>
        </w:rPr>
        <w:t>件、优秀奖若干</w:t>
      </w:r>
    </w:p>
    <w:p>
      <w:pPr>
        <w:spacing w:line="580" w:lineRule="exact"/>
        <w:ind w:firstLine="640" w:firstLineChars="200"/>
        <w:rPr>
          <w:rFonts w:ascii="黑体" w:hAnsi="黑体" w:eastAsia="黑体" w:cs="黑体"/>
          <w:b w:val="0"/>
          <w:bCs/>
          <w:snapToGrid w:val="0"/>
          <w:kern w:val="0"/>
          <w:sz w:val="32"/>
          <w:szCs w:val="32"/>
          <w:lang w:val="zh-CN"/>
        </w:rPr>
      </w:pPr>
      <w:r>
        <w:rPr>
          <w:rFonts w:hint="eastAsia" w:ascii="黑体" w:hAnsi="黑体" w:eastAsia="黑体" w:cs="黑体"/>
          <w:b w:val="0"/>
          <w:bCs/>
          <w:snapToGrid w:val="0"/>
          <w:kern w:val="0"/>
          <w:sz w:val="32"/>
          <w:szCs w:val="32"/>
          <w:lang w:val="zh-CN"/>
        </w:rPr>
        <w:t>二、相关要求</w:t>
      </w:r>
    </w:p>
    <w:p>
      <w:pPr>
        <w:spacing w:line="580" w:lineRule="exact"/>
        <w:ind w:firstLine="640" w:firstLineChars="200"/>
        <w:rPr>
          <w:rFonts w:hint="eastAsia" w:ascii="仿宋_GB2312" w:hAnsi="仿宋_GB2312" w:eastAsia="仿宋_GB2312" w:cs="仿宋_GB2312"/>
          <w:b w:val="0"/>
          <w:bCs/>
          <w:snapToGrid w:val="0"/>
          <w:kern w:val="0"/>
          <w:sz w:val="32"/>
          <w:szCs w:val="32"/>
          <w:lang w:val="zh-CN"/>
        </w:rPr>
      </w:pPr>
      <w:r>
        <w:rPr>
          <w:rFonts w:hint="eastAsia" w:ascii="仿宋_GB2312" w:hAnsi="仿宋_GB2312" w:eastAsia="仿宋_GB2312" w:cs="仿宋_GB2312"/>
          <w:b w:val="0"/>
          <w:bCs/>
          <w:snapToGrid w:val="0"/>
          <w:kern w:val="0"/>
          <w:sz w:val="32"/>
          <w:szCs w:val="32"/>
          <w:lang w:val="zh-CN"/>
        </w:rPr>
        <w:t>读书主题、评选时间安排、投稿须知、参评作品要求、活动用书及推荐用书均参照第十届“书香三八”读书活动方案（见附件</w:t>
      </w:r>
      <w:r>
        <w:rPr>
          <w:rFonts w:hint="eastAsia" w:ascii="仿宋_GB2312" w:hAnsi="仿宋_GB2312" w:eastAsia="仿宋_GB2312" w:cs="仿宋_GB2312"/>
          <w:b w:val="0"/>
          <w:bCs/>
          <w:snapToGrid w:val="0"/>
          <w:kern w:val="0"/>
          <w:sz w:val="32"/>
          <w:szCs w:val="32"/>
        </w:rPr>
        <w:t>1</w:t>
      </w:r>
      <w:r>
        <w:rPr>
          <w:rFonts w:hint="eastAsia" w:ascii="仿宋_GB2312" w:hAnsi="仿宋_GB2312" w:eastAsia="仿宋_GB2312" w:cs="仿宋_GB2312"/>
          <w:b w:val="0"/>
          <w:bCs/>
          <w:snapToGrid w:val="0"/>
          <w:kern w:val="0"/>
          <w:sz w:val="32"/>
          <w:szCs w:val="32"/>
          <w:lang w:val="zh-CN"/>
        </w:rPr>
        <w:t>）。</w:t>
      </w:r>
    </w:p>
    <w:p>
      <w:pPr>
        <w:spacing w:line="580" w:lineRule="exact"/>
        <w:rPr>
          <w:rFonts w:ascii="黑体" w:hAnsi="黑体" w:eastAsia="黑体" w:cs="黑体"/>
          <w:b w:val="0"/>
          <w:bCs/>
          <w:sz w:val="32"/>
          <w:szCs w:val="32"/>
        </w:rPr>
      </w:pPr>
      <w:r>
        <w:rPr>
          <w:rFonts w:hint="eastAsia" w:ascii="黑体" w:hAnsi="黑体" w:eastAsia="黑体" w:cs="黑体"/>
          <w:b w:val="0"/>
          <w:bCs/>
          <w:sz w:val="32"/>
          <w:szCs w:val="32"/>
          <w:lang w:val="zh-CN"/>
        </w:rPr>
        <w:t>附件</w:t>
      </w:r>
      <w:r>
        <w:rPr>
          <w:rFonts w:hint="eastAsia" w:ascii="黑体" w:hAnsi="黑体" w:eastAsia="黑体" w:cs="黑体"/>
          <w:b w:val="0"/>
          <w:bCs/>
          <w:sz w:val="32"/>
          <w:szCs w:val="32"/>
        </w:rPr>
        <w:t>3</w:t>
      </w:r>
    </w:p>
    <w:p>
      <w:pPr>
        <w:spacing w:line="580" w:lineRule="exact"/>
        <w:jc w:val="center"/>
        <w:rPr>
          <w:rFonts w:ascii="方正小标宋简体" w:hAnsi="方正小标宋简体" w:eastAsia="方正小标宋简体" w:cs="方正小标宋简体"/>
          <w:b/>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读书活动开展情况统计表表</w:t>
      </w:r>
    </w:p>
    <w:p>
      <w:pPr>
        <w:spacing w:line="580" w:lineRule="exact"/>
        <w:jc w:val="center"/>
        <w:rPr>
          <w:rFonts w:ascii="方正小标宋简体" w:hAnsi="方正小标宋简体" w:eastAsia="方正小标宋简体" w:cs="方正小标宋简体"/>
          <w:b/>
          <w:snapToGrid w:val="0"/>
          <w:kern w:val="0"/>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7" w:type="dxa"/>
          </w:tcPr>
          <w:p>
            <w:pPr>
              <w:widowControl/>
              <w:spacing w:line="440" w:lineRule="exact"/>
              <w:jc w:val="center"/>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填报单位</w:t>
            </w:r>
          </w:p>
        </w:tc>
        <w:tc>
          <w:tcPr>
            <w:tcW w:w="5825" w:type="dxa"/>
          </w:tcPr>
          <w:p>
            <w:pPr>
              <w:widowControl/>
              <w:spacing w:line="440" w:lineRule="exact"/>
              <w:ind w:firstLine="643"/>
              <w:jc w:val="center"/>
              <w:rPr>
                <w:rFonts w:hint="eastAsia" w:ascii="仿宋_GB2312" w:hAnsi="仿宋_GB2312" w:eastAsia="仿宋_GB2312" w:cs="仿宋_GB2312"/>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97" w:type="dxa"/>
            <w:vAlign w:val="center"/>
          </w:tcPr>
          <w:p>
            <w:pPr>
              <w:widowControl/>
              <w:spacing w:line="440" w:lineRule="exact"/>
              <w:jc w:val="center"/>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参与读书人数</w:t>
            </w:r>
          </w:p>
        </w:tc>
        <w:tc>
          <w:tcPr>
            <w:tcW w:w="5825" w:type="dxa"/>
          </w:tcPr>
          <w:p>
            <w:pPr>
              <w:spacing w:line="580" w:lineRule="exact"/>
              <w:ind w:firstLine="883"/>
              <w:jc w:val="center"/>
              <w:rPr>
                <w:rFonts w:hint="eastAsia" w:ascii="仿宋_GB2312" w:hAnsi="仿宋_GB2312" w:eastAsia="仿宋_GB2312" w:cs="仿宋_GB2312"/>
                <w:b w:val="0"/>
                <w:bCs w:val="0"/>
                <w:snapToGrid w:val="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97" w:type="dxa"/>
            <w:vAlign w:val="center"/>
          </w:tcPr>
          <w:p>
            <w:pPr>
              <w:widowControl/>
              <w:spacing w:line="440" w:lineRule="exact"/>
              <w:jc w:val="center"/>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参评作品数</w:t>
            </w:r>
          </w:p>
        </w:tc>
        <w:tc>
          <w:tcPr>
            <w:tcW w:w="5825" w:type="dxa"/>
          </w:tcPr>
          <w:p>
            <w:pPr>
              <w:spacing w:line="580" w:lineRule="exact"/>
              <w:ind w:firstLine="883"/>
              <w:jc w:val="center"/>
              <w:rPr>
                <w:rFonts w:hint="eastAsia" w:ascii="仿宋_GB2312" w:hAnsi="仿宋_GB2312" w:eastAsia="仿宋_GB2312" w:cs="仿宋_GB2312"/>
                <w:b w:val="0"/>
                <w:bCs w:val="0"/>
                <w:snapToGrid w:val="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6" w:hRule="atLeast"/>
        </w:trPr>
        <w:tc>
          <w:tcPr>
            <w:tcW w:w="8522" w:type="dxa"/>
            <w:gridSpan w:val="2"/>
          </w:tcPr>
          <w:p>
            <w:pPr>
              <w:spacing w:line="580" w:lineRule="exact"/>
              <w:ind w:firstLine="643"/>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组织活动实施的细节、心得、总结及建议等：</w:t>
            </w:r>
          </w:p>
          <w:p>
            <w:pPr>
              <w:spacing w:line="580" w:lineRule="exact"/>
              <w:ind w:firstLine="643"/>
              <w:jc w:val="center"/>
              <w:rPr>
                <w:rFonts w:hint="eastAsia" w:ascii="仿宋_GB2312" w:hAnsi="仿宋_GB2312" w:eastAsia="仿宋_GB2312" w:cs="仿宋_GB2312"/>
                <w:b w:val="0"/>
                <w:bCs w:val="0"/>
                <w:color w:val="000000"/>
                <w:kern w:val="0"/>
                <w:sz w:val="32"/>
                <w:szCs w:val="32"/>
              </w:rPr>
            </w:pPr>
          </w:p>
          <w:p>
            <w:pPr>
              <w:spacing w:line="580" w:lineRule="exact"/>
              <w:ind w:firstLine="643"/>
              <w:jc w:val="center"/>
              <w:rPr>
                <w:rFonts w:hint="eastAsia" w:ascii="仿宋_GB2312" w:hAnsi="仿宋_GB2312" w:eastAsia="仿宋_GB2312" w:cs="仿宋_GB2312"/>
                <w:b w:val="0"/>
                <w:bCs w:val="0"/>
                <w:color w:val="000000"/>
                <w:kern w:val="0"/>
                <w:sz w:val="32"/>
                <w:szCs w:val="32"/>
              </w:rPr>
            </w:pPr>
          </w:p>
          <w:p>
            <w:pPr>
              <w:spacing w:line="580" w:lineRule="exact"/>
              <w:ind w:firstLine="643"/>
              <w:jc w:val="center"/>
              <w:rPr>
                <w:rFonts w:hint="eastAsia" w:ascii="仿宋_GB2312" w:hAnsi="仿宋_GB2312" w:eastAsia="仿宋_GB2312" w:cs="仿宋_GB2312"/>
                <w:b w:val="0"/>
                <w:bCs w:val="0"/>
                <w:color w:val="000000"/>
                <w:kern w:val="0"/>
                <w:sz w:val="32"/>
                <w:szCs w:val="32"/>
              </w:rPr>
            </w:pPr>
          </w:p>
          <w:p>
            <w:pPr>
              <w:spacing w:line="580" w:lineRule="exact"/>
              <w:ind w:firstLine="643"/>
              <w:jc w:val="center"/>
              <w:rPr>
                <w:rFonts w:hint="eastAsia" w:ascii="仿宋_GB2312" w:hAnsi="仿宋_GB2312" w:eastAsia="仿宋_GB2312" w:cs="仿宋_GB2312"/>
                <w:b w:val="0"/>
                <w:bCs w:val="0"/>
                <w:color w:val="000000"/>
                <w:kern w:val="0"/>
                <w:sz w:val="32"/>
                <w:szCs w:val="32"/>
              </w:rPr>
            </w:pPr>
          </w:p>
        </w:tc>
      </w:tr>
    </w:tbl>
    <w:p>
      <w:pPr>
        <w:spacing w:line="580" w:lineRule="exact"/>
        <w:jc w:val="left"/>
      </w:pPr>
      <w:r>
        <w:rPr>
          <w:rFonts w:hint="eastAsia" w:ascii="仿宋_GB2312" w:hAnsi="仿宋_GB2312" w:eastAsia="仿宋_GB2312" w:cs="仿宋_GB2312"/>
          <w:b w:val="0"/>
          <w:bCs w:val="0"/>
          <w:color w:val="000000"/>
          <w:kern w:val="0"/>
          <w:sz w:val="32"/>
          <w:szCs w:val="32"/>
        </w:rPr>
        <w:t>填报人：                      联系电话：</w:t>
      </w:r>
    </w:p>
    <w:sectPr>
      <w:footerReference r:id="rId3" w:type="default"/>
      <w:footerReference r:id="rId4" w:type="even"/>
      <w:pgSz w:w="11907" w:h="16840"/>
      <w:pgMar w:top="2098" w:right="1230" w:bottom="1928" w:left="1797" w:header="851" w:footer="124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5</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p>
    <w:pPr>
      <w:pStyle w:val="2"/>
      <w:rPr>
        <w:rStyle w:val="7"/>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6</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p>
    <w:pPr>
      <w:pStyle w:val="2"/>
      <w:rPr>
        <w:rStyle w:val="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3E272"/>
    <w:multiLevelType w:val="singleLevel"/>
    <w:tmpl w:val="FFE3E272"/>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E712B"/>
    <w:rsid w:val="063E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列出段落1"/>
    <w:basedOn w:val="1"/>
    <w:qFormat/>
    <w:uiPriority w:val="0"/>
    <w:pPr>
      <w:suppressAutoHyphens/>
      <w:ind w:firstLine="420" w:firstLineChars="200"/>
    </w:pPr>
    <w:rPr>
      <w:rFonts w:ascii="Calibri" w:hAnsi="Calibri" w:eastAsia="宋体" w:cs="Times New Roman"/>
      <w:kern w:val="0"/>
    </w:rPr>
  </w:style>
  <w:style w:type="character" w:customStyle="1" w:styleId="7">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2022-02-20T06:31:00Z</dcterms:created>
  <dc:creator>李吉斌</dc:creator>
  <cp:lastModifiedBy>李吉斌</cp:lastModifiedBy>
  <dcterms:modified xsi:type="dcterms:W3CDTF">2022-02-20T06:33:26Z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1531CAD9E72F429EB875C4D5F63DA4A0</vt:lpwstr>
  </property>
</Properties>
</file>